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6266B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8036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A21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830E01">
              <w:rPr>
                <w:rFonts w:cs="Calibri"/>
                <w:b/>
                <w:bCs/>
                <w:sz w:val="20"/>
                <w:szCs w:val="20"/>
                <w:lang w:val="ro-RO"/>
              </w:rPr>
              <w:t>ANTROPOLOGIE, DEZVOLTARE COMUNITARA SI REGIONALA</w:t>
            </w:r>
            <w:bookmarkStart w:id="1" w:name="_GoBack"/>
            <w:bookmarkEnd w:id="1"/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6266B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593F2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Reprezentări etnografice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FE32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Călin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Cotoi</w:t>
            </w:r>
            <w:proofErr w:type="spellEnd"/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593F24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307B7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specializari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854628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854628">
              <w:rPr>
                <w:b/>
                <w:sz w:val="20"/>
                <w:szCs w:val="20"/>
                <w:lang w:val="fr-FR" w:bidi="en-US"/>
              </w:rPr>
              <w:t>Antropologie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B77EB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77EB2"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 w:rsidRPr="00B77EB2"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B77EB2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B77EB2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B77EB2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B77EB2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B77EB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B77EB2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B77EB2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B77EB2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B77EB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B77EB2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B77EB2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B77EB2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6266B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77EB2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 w:rsidRPr="00B77EB2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B77EB2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B77EB2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B77EB2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B77EB2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7E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B77EB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B77EB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1</w:t>
            </w:r>
          </w:p>
        </w:tc>
      </w:tr>
      <w:tr w:rsidR="00D85646" w:rsidRPr="00B77EB2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14</w:t>
            </w:r>
          </w:p>
        </w:tc>
      </w:tr>
      <w:tr w:rsidR="00D85646" w:rsidRPr="00B77EB2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B77EB2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40</w:t>
            </w:r>
          </w:p>
        </w:tc>
      </w:tr>
      <w:tr w:rsidR="00D85646" w:rsidRPr="00B77EB2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20</w:t>
            </w:r>
          </w:p>
        </w:tc>
      </w:tr>
      <w:tr w:rsidR="00D85646" w:rsidRPr="00B77EB2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33</w:t>
            </w:r>
          </w:p>
        </w:tc>
      </w:tr>
      <w:tr w:rsidR="00D85646" w:rsidRPr="00B77EB2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23</w:t>
            </w:r>
          </w:p>
        </w:tc>
      </w:tr>
      <w:tr w:rsidR="00D85646" w:rsidRPr="00B77EB2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6</w:t>
            </w:r>
          </w:p>
        </w:tc>
      </w:tr>
      <w:tr w:rsidR="00D85646" w:rsidRPr="00B77EB2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7EB2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B77EB2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122</w:t>
            </w:r>
          </w:p>
        </w:tc>
      </w:tr>
      <w:tr w:rsidR="00D85646" w:rsidRPr="00B77EB2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150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77EB2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B77EB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77EB2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B77EB2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2676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77EB2">
              <w:rPr>
                <w:sz w:val="20"/>
                <w:szCs w:val="20"/>
              </w:rPr>
              <w:t>6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4F2030" w:rsidRPr="00617542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Întâlnirile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gramStart"/>
            <w:r w:rsidRPr="00617542">
              <w:rPr>
                <w:sz w:val="20"/>
                <w:szCs w:val="20"/>
              </w:rPr>
              <w:t>curs</w:t>
            </w:r>
            <w:proofErr w:type="gramEnd"/>
            <w:r w:rsidRPr="00617542">
              <w:rPr>
                <w:sz w:val="20"/>
                <w:szCs w:val="20"/>
              </w:rPr>
              <w:t xml:space="preserve"> se </w:t>
            </w:r>
            <w:proofErr w:type="spellStart"/>
            <w:r w:rsidRPr="00617542">
              <w:rPr>
                <w:sz w:val="20"/>
                <w:szCs w:val="20"/>
              </w:rPr>
              <w:t>vor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desfășura</w:t>
            </w:r>
            <w:proofErr w:type="spellEnd"/>
            <w:r w:rsidRPr="00617542">
              <w:rPr>
                <w:sz w:val="20"/>
                <w:szCs w:val="20"/>
              </w:rPr>
              <w:t xml:space="preserve"> sub forma </w:t>
            </w:r>
            <w:proofErr w:type="spellStart"/>
            <w:r w:rsidRPr="00617542">
              <w:rPr>
                <w:sz w:val="20"/>
                <w:szCs w:val="20"/>
              </w:rPr>
              <w:t>unor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prelegeri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Studenții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sunt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invitați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să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participe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activ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în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timpul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prelegerilor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  <w:proofErr w:type="spellStart"/>
            <w:r w:rsidRPr="00617542">
              <w:rPr>
                <w:sz w:val="20"/>
                <w:szCs w:val="20"/>
              </w:rPr>
              <w:t>Aceștia</w:t>
            </w:r>
            <w:proofErr w:type="spellEnd"/>
            <w:r w:rsidRPr="00617542">
              <w:rPr>
                <w:sz w:val="20"/>
                <w:szCs w:val="20"/>
              </w:rPr>
              <w:t xml:space="preserve"> au </w:t>
            </w:r>
            <w:proofErr w:type="spellStart"/>
            <w:r w:rsidRPr="00617542">
              <w:rPr>
                <w:sz w:val="20"/>
                <w:szCs w:val="20"/>
              </w:rPr>
              <w:t>posibilitatea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gramStart"/>
            <w:r w:rsidRPr="00617542">
              <w:rPr>
                <w:sz w:val="20"/>
                <w:szCs w:val="20"/>
              </w:rPr>
              <w:t>a</w:t>
            </w:r>
            <w:proofErr w:type="gram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oferi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răspunsuri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și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puncte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vedere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personale</w:t>
            </w:r>
            <w:proofErr w:type="spellEnd"/>
            <w:r w:rsidRPr="00617542">
              <w:rPr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sz w:val="20"/>
                <w:szCs w:val="20"/>
              </w:rPr>
              <w:t>privire</w:t>
            </w:r>
            <w:proofErr w:type="spellEnd"/>
            <w:r w:rsidRPr="00617542">
              <w:rPr>
                <w:sz w:val="20"/>
                <w:szCs w:val="20"/>
              </w:rPr>
              <w:t xml:space="preserve"> la diverse </w:t>
            </w:r>
            <w:proofErr w:type="spellStart"/>
            <w:r w:rsidRPr="00617542">
              <w:rPr>
                <w:sz w:val="20"/>
                <w:szCs w:val="20"/>
              </w:rPr>
              <w:t>întrebări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și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probleme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lansate</w:t>
            </w:r>
            <w:proofErr w:type="spellEnd"/>
            <w:r w:rsidRPr="00617542">
              <w:rPr>
                <w:sz w:val="20"/>
                <w:szCs w:val="20"/>
              </w:rPr>
              <w:t xml:space="preserve"> la </w:t>
            </w:r>
            <w:proofErr w:type="spellStart"/>
            <w:r w:rsidRPr="00617542">
              <w:rPr>
                <w:sz w:val="20"/>
                <w:szCs w:val="20"/>
              </w:rPr>
              <w:t>fiecare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lastRenderedPageBreak/>
              <w:t>prelegere</w:t>
            </w:r>
            <w:proofErr w:type="spellEnd"/>
            <w:r w:rsidRPr="00617542">
              <w:rPr>
                <w:sz w:val="20"/>
                <w:szCs w:val="20"/>
              </w:rPr>
              <w:t xml:space="preserve">.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FE3264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FE3264" w:rsidRPr="00D01F69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 xml:space="preserve">Învățarea </w:t>
            </w:r>
            <w:r>
              <w:rPr>
                <w:sz w:val="20"/>
                <w:szCs w:val="20"/>
                <w:lang w:val="ro-RO"/>
              </w:rPr>
              <w:t>vocabularului conceptual al teor</w:t>
            </w:r>
            <w:r w:rsidRPr="00D01F69">
              <w:rPr>
                <w:sz w:val="20"/>
                <w:szCs w:val="20"/>
                <w:lang w:val="ro-RO"/>
              </w:rPr>
              <w:t>iilor</w:t>
            </w:r>
            <w:r w:rsidR="00593F24">
              <w:rPr>
                <w:sz w:val="20"/>
                <w:szCs w:val="20"/>
                <w:lang w:val="ro-RO"/>
              </w:rPr>
              <w:t xml:space="preserve"> antropologice</w:t>
            </w:r>
            <w:r>
              <w:rPr>
                <w:sz w:val="20"/>
                <w:szCs w:val="20"/>
                <w:lang w:val="ro-RO"/>
              </w:rPr>
              <w:t xml:space="preserve"> ce tratează problema apariției ș</w:t>
            </w:r>
            <w:r w:rsidR="00593F24">
              <w:rPr>
                <w:sz w:val="20"/>
                <w:szCs w:val="20"/>
                <w:lang w:val="ro-RO"/>
              </w:rPr>
              <w:t>i a transformărilor obiectelor și a textelor etnografice.</w:t>
            </w:r>
          </w:p>
          <w:p w:rsidR="00FE3264" w:rsidRPr="00D01F69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>Înțelegerea princip</w:t>
            </w:r>
            <w:r>
              <w:rPr>
                <w:sz w:val="20"/>
                <w:szCs w:val="20"/>
                <w:lang w:val="ro-RO"/>
              </w:rPr>
              <w:t xml:space="preserve">alelor ipoteze epistemologice </w:t>
            </w:r>
            <w:r w:rsidR="00593F24">
              <w:rPr>
                <w:sz w:val="20"/>
                <w:szCs w:val="20"/>
                <w:lang w:val="ro-RO"/>
              </w:rPr>
              <w:t>din diverse abordări antropologice</w:t>
            </w:r>
            <w:r>
              <w:rPr>
                <w:sz w:val="20"/>
                <w:szCs w:val="20"/>
                <w:lang w:val="ro-RO"/>
              </w:rPr>
              <w:t xml:space="preserve"> pornind de la cele </w:t>
            </w:r>
            <w:r w:rsidR="00593F24">
              <w:rPr>
                <w:sz w:val="20"/>
                <w:szCs w:val="20"/>
                <w:lang w:val="ro-RO"/>
              </w:rPr>
              <w:t xml:space="preserve">muzeale </w:t>
            </w:r>
            <w:r>
              <w:rPr>
                <w:sz w:val="20"/>
                <w:szCs w:val="20"/>
                <w:lang w:val="ro-RO"/>
              </w:rPr>
              <w:t xml:space="preserve">clasice la </w:t>
            </w:r>
            <w:r w:rsidR="00593F24">
              <w:rPr>
                <w:sz w:val="20"/>
                <w:szCs w:val="20"/>
              </w:rPr>
              <w:t>“</w:t>
            </w:r>
            <w:proofErr w:type="spellStart"/>
            <w:r w:rsidR="00593F24">
              <w:rPr>
                <w:sz w:val="20"/>
                <w:szCs w:val="20"/>
              </w:rPr>
              <w:t>criza</w:t>
            </w:r>
            <w:proofErr w:type="spellEnd"/>
            <w:r w:rsidR="00593F24">
              <w:rPr>
                <w:sz w:val="20"/>
                <w:szCs w:val="20"/>
              </w:rPr>
              <w:t xml:space="preserve"> </w:t>
            </w:r>
            <w:proofErr w:type="spellStart"/>
            <w:r w:rsidR="00593F24">
              <w:rPr>
                <w:sz w:val="20"/>
                <w:szCs w:val="20"/>
              </w:rPr>
              <w:t>reprezentării</w:t>
            </w:r>
            <w:proofErr w:type="spellEnd"/>
            <w:r w:rsidR="00593F24">
              <w:rPr>
                <w:sz w:val="20"/>
                <w:szCs w:val="20"/>
              </w:rPr>
              <w:t xml:space="preserve">” </w:t>
            </w:r>
            <w:proofErr w:type="spellStart"/>
            <w:r w:rsidR="00593F24">
              <w:rPr>
                <w:sz w:val="20"/>
                <w:szCs w:val="20"/>
              </w:rPr>
              <w:t>și</w:t>
            </w:r>
            <w:proofErr w:type="spellEnd"/>
            <w:r w:rsidR="00593F24">
              <w:rPr>
                <w:sz w:val="20"/>
                <w:szCs w:val="20"/>
              </w:rPr>
              <w:t xml:space="preserve"> la </w:t>
            </w:r>
            <w:proofErr w:type="spellStart"/>
            <w:r w:rsidR="00593F24">
              <w:rPr>
                <w:sz w:val="20"/>
                <w:szCs w:val="20"/>
              </w:rPr>
              <w:t>dezbaterile</w:t>
            </w:r>
            <w:proofErr w:type="spellEnd"/>
            <w:r w:rsidR="00593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contemporane</w:t>
            </w:r>
          </w:p>
          <w:p w:rsidR="00FE3264" w:rsidRPr="00D01F69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Înțelegerea varietă</w:t>
            </w:r>
            <w:r w:rsidR="00593F24">
              <w:rPr>
                <w:sz w:val="20"/>
                <w:szCs w:val="20"/>
                <w:lang w:val="ro-RO"/>
              </w:rPr>
              <w:t xml:space="preserve">ții abordărilor și înfățișării mecanismelor de de-contextualizare și recontextualizare etnografică. </w:t>
            </w:r>
          </w:p>
          <w:p w:rsidR="00FE3264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D01F69">
              <w:rPr>
                <w:sz w:val="20"/>
                <w:szCs w:val="20"/>
                <w:lang w:val="ro-RO"/>
              </w:rPr>
              <w:t xml:space="preserve">bilitatea de a folosi </w:t>
            </w:r>
            <w:r>
              <w:rPr>
                <w:sz w:val="20"/>
                <w:szCs w:val="20"/>
                <w:lang w:val="ro-RO"/>
              </w:rPr>
              <w:t>instrumente teoretice și metode</w:t>
            </w:r>
            <w:r w:rsidRPr="00D01F69">
              <w:rPr>
                <w:sz w:val="20"/>
                <w:szCs w:val="20"/>
                <w:lang w:val="ro-RO"/>
              </w:rPr>
              <w:t xml:space="preserve"> practice pentru analiza </w:t>
            </w:r>
            <w:r>
              <w:rPr>
                <w:sz w:val="20"/>
                <w:szCs w:val="20"/>
                <w:lang w:val="ro-RO"/>
              </w:rPr>
              <w:t>fenomenelo</w:t>
            </w:r>
            <w:r w:rsidR="00593F24">
              <w:rPr>
                <w:sz w:val="20"/>
                <w:szCs w:val="20"/>
                <w:lang w:val="ro-RO"/>
              </w:rPr>
              <w:t xml:space="preserve">r legate de  reprezentări etnografice . </w:t>
            </w:r>
          </w:p>
          <w:p w:rsidR="00FE3264" w:rsidRPr="00D01F69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D01F69">
              <w:rPr>
                <w:sz w:val="20"/>
                <w:szCs w:val="20"/>
                <w:lang w:val="ro-RO"/>
              </w:rPr>
              <w:t xml:space="preserve">Dezvoltarea abilității de a formula argumente </w:t>
            </w:r>
            <w:r>
              <w:rPr>
                <w:sz w:val="20"/>
                <w:szCs w:val="20"/>
                <w:lang w:val="ro-RO"/>
              </w:rPr>
              <w:t>și de a le susține cu date</w:t>
            </w:r>
            <w:r w:rsidRPr="00D01F69">
              <w:rPr>
                <w:sz w:val="20"/>
                <w:szCs w:val="20"/>
                <w:lang w:val="ro-RO"/>
              </w:rPr>
              <w:t xml:space="preserve"> empirice</w:t>
            </w:r>
          </w:p>
          <w:p w:rsidR="00E77EF5" w:rsidRPr="00617542" w:rsidRDefault="00FE3264" w:rsidP="00FE326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01F69">
              <w:rPr>
                <w:sz w:val="20"/>
                <w:szCs w:val="20"/>
                <w:lang w:val="ro-RO"/>
              </w:rPr>
              <w:t>Dezvoltarea abilității de a înțelege și de a rezuma textele academice</w:t>
            </w:r>
          </w:p>
        </w:tc>
      </w:tr>
      <w:tr w:rsidR="00E77EF5" w:rsidRPr="00617542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FE3264" w:rsidRPr="00082F50" w:rsidRDefault="00FE3264" w:rsidP="00F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abilităţilor de redactare a proiectelor de cercetare calitativă</w:t>
            </w:r>
          </w:p>
          <w:p w:rsidR="00FE3264" w:rsidRPr="00082F50" w:rsidRDefault="00FE3264" w:rsidP="00F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Îmbunătățirea competențelor de analiză și de comunicare</w:t>
            </w:r>
          </w:p>
          <w:p w:rsidR="00FE3264" w:rsidRPr="00082F50" w:rsidRDefault="00FE3264" w:rsidP="00F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82F50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:rsidR="00E77EF5" w:rsidRPr="00617542" w:rsidRDefault="00FE3264" w:rsidP="00F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82F50">
              <w:rPr>
                <w:sz w:val="20"/>
                <w:szCs w:val="20"/>
                <w:lang w:val="ro-RO"/>
              </w:rPr>
              <w:t>Dezvoltare profesional prin studii individuale și discuții în clasă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617542" w:rsidRDefault="00FE3264" w:rsidP="00593F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A10">
              <w:rPr>
                <w:sz w:val="20"/>
                <w:szCs w:val="20"/>
                <w:lang w:val="ro-RO"/>
              </w:rPr>
              <w:t>Însuşirea de către studenţi</w:t>
            </w:r>
            <w:r>
              <w:rPr>
                <w:sz w:val="20"/>
                <w:szCs w:val="20"/>
                <w:lang w:val="ro-RO"/>
              </w:rPr>
              <w:t xml:space="preserve"> a principalelor </w:t>
            </w:r>
            <w:r w:rsidRPr="00FA04F1">
              <w:rPr>
                <w:sz w:val="20"/>
                <w:szCs w:val="20"/>
                <w:lang w:val="ro-RO"/>
              </w:rPr>
              <w:t>teorii, teme și direcții de cercetare</w:t>
            </w:r>
            <w:r w:rsidR="00593F24">
              <w:rPr>
                <w:sz w:val="20"/>
                <w:szCs w:val="20"/>
                <w:lang w:val="ro-RO"/>
              </w:rPr>
              <w:t xml:space="preserve"> antropologică din perspectiva  reprezentărilor etnografice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617542" w:rsidRDefault="00FE3264" w:rsidP="00593F24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Familiarizare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cs="Arial"/>
                <w:sz w:val="20"/>
                <w:szCs w:val="20"/>
              </w:rPr>
              <w:t>tipuri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abordare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teoretică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și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epistemică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diverse </w:t>
            </w:r>
            <w:proofErr w:type="spellStart"/>
            <w:r>
              <w:rPr>
                <w:rFonts w:cs="Arial"/>
                <w:sz w:val="20"/>
                <w:szCs w:val="20"/>
              </w:rPr>
              <w:t>dar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complementare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627637" w:rsidRDefault="00FE3264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FE3264">
              <w:rPr>
                <w:b/>
                <w:bCs/>
                <w:sz w:val="20"/>
                <w:szCs w:val="20"/>
                <w:lang w:val="ro-RO"/>
              </w:rPr>
              <w:t>C.1</w:t>
            </w:r>
            <w:r w:rsidR="00627637">
              <w:rPr>
                <w:bCs/>
                <w:sz w:val="20"/>
                <w:szCs w:val="20"/>
                <w:lang w:val="ro-RO"/>
              </w:rPr>
              <w:t xml:space="preserve"> Complexul muzeal al secolului al XIX-lea 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C2 Expoziții, arcade, muzee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C2 Obiecul etnografic</w:t>
            </w:r>
          </w:p>
          <w:p w:rsidR="00FE3264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C3 Contextualizare si decontexualizare 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C4 In situ 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C5 Criza muzeelor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C6 Lumea ca muzeu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C7 Terenul antropologic ca reprezentare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C8 De la obiect la text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C9 Criza reprezentarilor in antropologia anilor 1980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C10 Etnografie, expertiza, reprezentare</w:t>
            </w:r>
          </w:p>
          <w:p w:rsidR="00627637" w:rsidRDefault="00627637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C11 </w:t>
            </w:r>
            <w:r w:rsidR="008B3D82">
              <w:rPr>
                <w:bCs/>
                <w:sz w:val="20"/>
                <w:szCs w:val="20"/>
                <w:lang w:val="ro-RO"/>
              </w:rPr>
              <w:t>Cultura si critica etnografica</w:t>
            </w:r>
          </w:p>
          <w:p w:rsidR="008B3D82" w:rsidRDefault="008B3D82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C12 Transformări</w:t>
            </w:r>
          </w:p>
          <w:p w:rsidR="008B3D82" w:rsidRDefault="008B3D82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8B3D82" w:rsidRDefault="008B3D82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Bibliografie</w:t>
            </w:r>
          </w:p>
          <w:p w:rsid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BASHKOW, Ira: „A Neo-</w:t>
            </w:r>
            <w:proofErr w:type="spellStart"/>
            <w:r w:rsidRPr="008B3D82">
              <w:rPr>
                <w:bCs/>
                <w:sz w:val="20"/>
                <w:szCs w:val="20"/>
              </w:rPr>
              <w:t>Boasian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Conception of Cultural Boundaries“, in American Anthropologist 106 (3): 443-458, 2004</w:t>
            </w:r>
          </w:p>
          <w:p w:rsidR="00FC0864" w:rsidRPr="00FC0864" w:rsidRDefault="00FC0864" w:rsidP="008B3D8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BENNET, Tony </w:t>
            </w:r>
            <w:r>
              <w:rPr>
                <w:bCs/>
                <w:i/>
                <w:sz w:val="20"/>
                <w:szCs w:val="20"/>
              </w:rPr>
              <w:t xml:space="preserve">The Birth of the Museum: History, Theory &amp; Politics, </w:t>
            </w:r>
            <w:r w:rsidR="00F86CFC">
              <w:rPr>
                <w:bCs/>
                <w:sz w:val="20"/>
                <w:szCs w:val="20"/>
              </w:rPr>
              <w:t xml:space="preserve">London: </w:t>
            </w:r>
            <w:proofErr w:type="spellStart"/>
            <w:r w:rsidR="00F86CFC">
              <w:rPr>
                <w:bCs/>
                <w:sz w:val="20"/>
                <w:szCs w:val="20"/>
              </w:rPr>
              <w:t>Routledge</w:t>
            </w:r>
            <w:proofErr w:type="spellEnd"/>
            <w:r w:rsidR="00F86CFC">
              <w:rPr>
                <w:bCs/>
                <w:sz w:val="20"/>
                <w:szCs w:val="20"/>
              </w:rPr>
              <w:t>, 1995.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BUNZL, M.: „Boas, Foucault, and the ‘Native Anthropologist’: Notes Toward a Neo-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 w:rsidRPr="008B3D82">
              <w:rPr>
                <w:bCs/>
                <w:sz w:val="20"/>
                <w:szCs w:val="20"/>
              </w:rPr>
              <w:t>Boasian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Anthropology“, in American Anthropologist, </w:t>
            </w:r>
            <w:proofErr w:type="spellStart"/>
            <w:r w:rsidRPr="008B3D82">
              <w:rPr>
                <w:bCs/>
                <w:sz w:val="20"/>
                <w:szCs w:val="20"/>
              </w:rPr>
              <w:t>vol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106, </w:t>
            </w:r>
            <w:r w:rsidRPr="008B3D82">
              <w:rPr>
                <w:bCs/>
                <w:sz w:val="20"/>
                <w:szCs w:val="20"/>
              </w:rPr>
              <w:lastRenderedPageBreak/>
              <w:t>Issue 3, 2004, pp. 435-442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CLIFFORD, James: Routes. Travel and Translation in the Late Twentieth Century, Harvard University Press, Harvard, 1997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 xml:space="preserve">GUPTA, </w:t>
            </w:r>
            <w:proofErr w:type="spellStart"/>
            <w:r w:rsidRPr="008B3D82">
              <w:rPr>
                <w:bCs/>
                <w:sz w:val="20"/>
                <w:szCs w:val="20"/>
              </w:rPr>
              <w:t>Akhil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and James Ferguson: „Discipline and Practice: ‘The Field’ as Site, Method,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 xml:space="preserve">and Location in Anthropology“, in </w:t>
            </w:r>
            <w:proofErr w:type="spellStart"/>
            <w:r w:rsidRPr="008B3D82">
              <w:rPr>
                <w:bCs/>
                <w:sz w:val="20"/>
                <w:szCs w:val="20"/>
              </w:rPr>
              <w:t>Akhil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Gupta and James Ferguson (eds.), Anthropological Locations: Boundaries and Grounds of a Field Science, University of California Press, Berkeley, 1997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JACKNIS, Ira: „The Ethnographic Object and the Object of Ethnography in the Early Career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proofErr w:type="gramStart"/>
            <w:r w:rsidRPr="008B3D82">
              <w:rPr>
                <w:bCs/>
                <w:sz w:val="20"/>
                <w:szCs w:val="20"/>
              </w:rPr>
              <w:t>of</w:t>
            </w:r>
            <w:proofErr w:type="gramEnd"/>
            <w:r w:rsidRPr="008B3D82">
              <w:rPr>
                <w:bCs/>
                <w:sz w:val="20"/>
                <w:szCs w:val="20"/>
              </w:rPr>
              <w:t xml:space="preserve"> Franz Boas“, in Stocking, George W., </w:t>
            </w:r>
            <w:proofErr w:type="spellStart"/>
            <w:r w:rsidRPr="008B3D82">
              <w:rPr>
                <w:bCs/>
                <w:sz w:val="20"/>
                <w:szCs w:val="20"/>
              </w:rPr>
              <w:t>Jr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(ed.) 1996. </w:t>
            </w:r>
            <w:proofErr w:type="spellStart"/>
            <w:r w:rsidRPr="008B3D82">
              <w:rPr>
                <w:bCs/>
                <w:sz w:val="20"/>
                <w:szCs w:val="20"/>
              </w:rPr>
              <w:t>Volksgeist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as Method and Ethic: Essays on </w:t>
            </w:r>
            <w:proofErr w:type="spellStart"/>
            <w:r w:rsidRPr="008B3D82">
              <w:rPr>
                <w:bCs/>
                <w:sz w:val="20"/>
                <w:szCs w:val="20"/>
              </w:rPr>
              <w:t>Boasian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Ethnography and the German Anthropological Tradition – History of Anthropology, vol. 8, University of Wisconsin Press, Madison, 1996, pp. 185-214</w:t>
            </w:r>
          </w:p>
          <w:p w:rsid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JACKSON, A</w:t>
            </w:r>
            <w:proofErr w:type="gramStart"/>
            <w:r w:rsidRPr="008B3D82">
              <w:rPr>
                <w:bCs/>
                <w:sz w:val="20"/>
                <w:szCs w:val="20"/>
              </w:rPr>
              <w:t>.(</w:t>
            </w:r>
            <w:proofErr w:type="gramEnd"/>
            <w:r w:rsidRPr="008B3D82">
              <w:rPr>
                <w:bCs/>
                <w:sz w:val="20"/>
                <w:szCs w:val="20"/>
              </w:rPr>
              <w:t xml:space="preserve">ed.): Anthropology at Home, </w:t>
            </w:r>
            <w:proofErr w:type="spellStart"/>
            <w:r w:rsidRPr="008B3D82">
              <w:rPr>
                <w:bCs/>
                <w:sz w:val="20"/>
                <w:szCs w:val="20"/>
              </w:rPr>
              <w:t>Tavistock</w:t>
            </w:r>
            <w:proofErr w:type="spellEnd"/>
            <w:r w:rsidRPr="008B3D82">
              <w:rPr>
                <w:bCs/>
                <w:sz w:val="20"/>
                <w:szCs w:val="20"/>
              </w:rPr>
              <w:t xml:space="preserve"> , London, 1987</w:t>
            </w:r>
            <w:r w:rsidR="00FC0864">
              <w:rPr>
                <w:bCs/>
                <w:sz w:val="20"/>
                <w:szCs w:val="20"/>
              </w:rPr>
              <w:t>.</w:t>
            </w:r>
          </w:p>
          <w:p w:rsidR="00FC0864" w:rsidRPr="00FC0864" w:rsidRDefault="00FC0864" w:rsidP="008B3D8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KIRSCHENBLATT-GIMBLET, Barbara </w:t>
            </w:r>
            <w:r>
              <w:rPr>
                <w:bCs/>
                <w:i/>
                <w:sz w:val="20"/>
                <w:szCs w:val="20"/>
              </w:rPr>
              <w:t xml:space="preserve">Destination Culture: Tourism, Museums, and Heritage, </w:t>
            </w:r>
            <w:r>
              <w:rPr>
                <w:bCs/>
                <w:sz w:val="20"/>
                <w:szCs w:val="20"/>
              </w:rPr>
              <w:t xml:space="preserve">Berkeley, LA, London: University of California Press, </w:t>
            </w:r>
            <w:r w:rsidR="00F86CFC">
              <w:rPr>
                <w:bCs/>
                <w:sz w:val="20"/>
                <w:szCs w:val="20"/>
              </w:rPr>
              <w:t>1998.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 xml:space="preserve">KUPER, Adam: Anthropology and Anthropologists, </w:t>
            </w:r>
            <w:proofErr w:type="spellStart"/>
            <w:r w:rsidRPr="008B3D82">
              <w:rPr>
                <w:bCs/>
                <w:sz w:val="20"/>
                <w:szCs w:val="20"/>
              </w:rPr>
              <w:t>Routledge</w:t>
            </w:r>
            <w:proofErr w:type="spellEnd"/>
            <w:r w:rsidRPr="008B3D82">
              <w:rPr>
                <w:bCs/>
                <w:sz w:val="20"/>
                <w:szCs w:val="20"/>
              </w:rPr>
              <w:t>, London, New York,1996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MESSERSCHMIDT, D. A. (ed.): Anthropologists at Home in North America. Methods and Issues in the Study of One’s Own Society, Cambridge University Press, Cambridge, 1981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  <w:r w:rsidRPr="008B3D82">
              <w:rPr>
                <w:bCs/>
                <w:sz w:val="20"/>
                <w:szCs w:val="20"/>
              </w:rPr>
              <w:t>STOCKING, G.W., Jr.: The Ethnographer’s Magic and Other Essays in the History of Anthropology, University of Wisconsin Press, Madison, 1992</w:t>
            </w:r>
          </w:p>
          <w:p w:rsidR="008B3D82" w:rsidRPr="008B3D82" w:rsidRDefault="008B3D82" w:rsidP="008B3D82">
            <w:pPr>
              <w:pStyle w:val="NoSpacing"/>
              <w:rPr>
                <w:bCs/>
                <w:sz w:val="20"/>
                <w:szCs w:val="20"/>
              </w:rPr>
            </w:pPr>
          </w:p>
          <w:p w:rsidR="008B3D82" w:rsidRPr="00FE3264" w:rsidRDefault="008B3D82" w:rsidP="00FE3264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  <w:p w:rsidR="00996693" w:rsidRPr="00617542" w:rsidRDefault="00996693" w:rsidP="00627637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17542" w:rsidRDefault="00FE32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2DF9">
              <w:rPr>
                <w:sz w:val="20"/>
                <w:szCs w:val="20"/>
                <w:lang w:val="ro-RO"/>
              </w:rPr>
              <w:lastRenderedPageBreak/>
              <w:t>Pre</w:t>
            </w:r>
            <w:r>
              <w:rPr>
                <w:sz w:val="20"/>
                <w:szCs w:val="20"/>
                <w:lang w:val="ro-RO"/>
              </w:rPr>
              <w:t>legeri, ana</w:t>
            </w:r>
            <w:r w:rsidR="00593F24">
              <w:rPr>
                <w:sz w:val="20"/>
                <w:szCs w:val="20"/>
                <w:lang w:val="ro-RO"/>
              </w:rPr>
              <w:t xml:space="preserve">liză a cercetărilor antropologice </w:t>
            </w:r>
            <w:r w:rsidRPr="002B2DF9">
              <w:rPr>
                <w:sz w:val="20"/>
                <w:szCs w:val="20"/>
                <w:lang w:val="ro-RO"/>
              </w:rPr>
              <w:t>„exemplare”, studii de caz</w:t>
            </w:r>
            <w:r w:rsidR="00627637">
              <w:rPr>
                <w:sz w:val="20"/>
                <w:szCs w:val="20"/>
                <w:lang w:val="ro-RO"/>
              </w:rPr>
              <w:t>, analiza si observatie a colectiilor oficiale si neoficiale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2763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617542" w:rsidRDefault="004F2030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FE3264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41D">
              <w:rPr>
                <w:sz w:val="20"/>
                <w:szCs w:val="20"/>
                <w:lang w:val="ro-RO"/>
              </w:rPr>
              <w:t>Mijloacele și metodele de predare, atât la curs cât și la seminar, sunt orientate către asigurarea unei corespondențe între conținutul cursului, așteptările comunității epistemice și cerințele angajatorilor</w:t>
            </w:r>
            <w:r>
              <w:rPr>
                <w:sz w:val="20"/>
                <w:szCs w:val="20"/>
                <w:lang w:val="ro-RO"/>
              </w:rPr>
              <w:t>, de la cei din cercetarea de piață calitativă până la cei din industriile creative.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FE3264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FE3264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Capacitatea de a prezenta și analiza cazuri la alegere (caz </w:t>
            </w:r>
            <w:r>
              <w:rPr>
                <w:sz w:val="20"/>
                <w:szCs w:val="20"/>
                <w:lang w:val="ro-RO"/>
              </w:rPr>
              <w:lastRenderedPageBreak/>
              <w:t>construit plecand fie de la experienta proprie, fie pe baza cercetării calitative</w:t>
            </w:r>
          </w:p>
          <w:p w:rsidR="00FE3264" w:rsidRPr="002E13A6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 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D63626" w:rsidRPr="00617542" w:rsidRDefault="00FE3264" w:rsidP="00FE32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>Redactarea în stil ştiinţific a lucrării.</w:t>
            </w:r>
          </w:p>
        </w:tc>
        <w:tc>
          <w:tcPr>
            <w:tcW w:w="3600" w:type="dxa"/>
          </w:tcPr>
          <w:p w:rsidR="00D63626" w:rsidRPr="00617542" w:rsidRDefault="00FE3264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Eseu</w:t>
            </w:r>
            <w:proofErr w:type="spellEnd"/>
          </w:p>
        </w:tc>
        <w:tc>
          <w:tcPr>
            <w:tcW w:w="1440" w:type="dxa"/>
          </w:tcPr>
          <w:p w:rsidR="00D63626" w:rsidRPr="00617542" w:rsidRDefault="00FE3264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FE3264" w:rsidRPr="005A0B8E" w:rsidRDefault="00FE3264" w:rsidP="00FE326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Cunoaşterea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aproximativă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conceptelor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prezentate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pe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parcursul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cursului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FE3264" w:rsidRPr="005A0B8E" w:rsidRDefault="00FE3264" w:rsidP="00FE326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0B8E">
              <w:rPr>
                <w:sz w:val="20"/>
                <w:szCs w:val="20"/>
              </w:rPr>
              <w:t>Parcurgerea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superficială</w:t>
            </w:r>
            <w:proofErr w:type="spellEnd"/>
            <w:r w:rsidRPr="005A0B8E">
              <w:rPr>
                <w:sz w:val="20"/>
                <w:szCs w:val="20"/>
              </w:rPr>
              <w:t xml:space="preserve"> a </w:t>
            </w:r>
            <w:proofErr w:type="spellStart"/>
            <w:r w:rsidRPr="005A0B8E">
              <w:rPr>
                <w:sz w:val="20"/>
                <w:szCs w:val="20"/>
              </w:rPr>
              <w:t>bibliografiei</w:t>
            </w:r>
            <w:proofErr w:type="spellEnd"/>
            <w:r w:rsidRPr="005A0B8E">
              <w:rPr>
                <w:sz w:val="20"/>
                <w:szCs w:val="20"/>
              </w:rPr>
              <w:t xml:space="preserve"> </w:t>
            </w:r>
            <w:proofErr w:type="spellStart"/>
            <w:r w:rsidRPr="005A0B8E">
              <w:rPr>
                <w:sz w:val="20"/>
                <w:szCs w:val="20"/>
              </w:rPr>
              <w:t>obligatorii</w:t>
            </w:r>
            <w:proofErr w:type="spellEnd"/>
            <w:r w:rsidRPr="005A0B8E">
              <w:rPr>
                <w:sz w:val="20"/>
                <w:szCs w:val="20"/>
              </w:rPr>
              <w:t>.</w:t>
            </w:r>
          </w:p>
          <w:p w:rsidR="00D63626" w:rsidRPr="00617542" w:rsidRDefault="00D63626" w:rsidP="00FE3264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B77EB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FE3264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FE3264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Capacitatea de a prezenta și analiza cazuri la alegere (caz construit plecand fie de la experienta proprie, fie pe baza cercetării calitative</w:t>
            </w:r>
          </w:p>
          <w:p w:rsidR="00FE3264" w:rsidRPr="002E13A6" w:rsidRDefault="00FE3264" w:rsidP="00FE326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 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113B1E" w:rsidRPr="00617542" w:rsidRDefault="00FE3264" w:rsidP="00F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>Redactarea în stil ştiinţific a lucrării.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617542" w:rsidRDefault="00FE3264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617542" w:rsidRDefault="00FE32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FE3264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74C7F">
              <w:rPr>
                <w:sz w:val="20"/>
                <w:szCs w:val="20"/>
                <w:lang w:val="ro-RO"/>
              </w:rPr>
              <w:t>Capacitatea de a conecta informaţiile şi teoriile 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FE3264" w:rsidRDefault="00FE3264" w:rsidP="00FE32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113B1E" w:rsidRPr="00617542" w:rsidRDefault="00FE3264" w:rsidP="00F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-Capacitatea de a prezenta oral argumentul unui text</w:t>
            </w:r>
          </w:p>
        </w:tc>
        <w:tc>
          <w:tcPr>
            <w:tcW w:w="2417" w:type="dxa"/>
            <w:gridSpan w:val="2"/>
            <w:vMerge w:val="restart"/>
          </w:tcPr>
          <w:p w:rsidR="00FE3264" w:rsidRDefault="00FE3264" w:rsidP="00FE32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113B1E" w:rsidRPr="00617542" w:rsidRDefault="00FE3264" w:rsidP="00FE3264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2398" w:type="dxa"/>
            <w:vMerge w:val="restart"/>
            <w:vAlign w:val="bottom"/>
          </w:tcPr>
          <w:p w:rsidR="00113B1E" w:rsidRPr="00617542" w:rsidRDefault="00FE32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442"/>
        </w:trPr>
        <w:tc>
          <w:tcPr>
            <w:tcW w:w="2447" w:type="dxa"/>
            <w:vAlign w:val="bottom"/>
          </w:tcPr>
          <w:p w:rsidR="002E6457" w:rsidRPr="00617542" w:rsidRDefault="00B77E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2E6457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E3795E" w:rsidRDefault="00E3795E" w:rsidP="00E3795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Cunoaşterea şi utilizarea adec</w:t>
            </w:r>
            <w:r w:rsidRPr="00215AF1">
              <w:rPr>
                <w:sz w:val="20"/>
                <w:szCs w:val="20"/>
                <w:lang w:val="ro-RO"/>
              </w:rPr>
              <w:t>vată a</w:t>
            </w:r>
            <w:r>
              <w:rPr>
                <w:sz w:val="20"/>
                <w:szCs w:val="20"/>
                <w:lang w:val="ro-RO"/>
              </w:rPr>
              <w:t xml:space="preserve"> unor</w:t>
            </w:r>
            <w:r w:rsidRPr="00215AF1">
              <w:rPr>
                <w:sz w:val="20"/>
                <w:szCs w:val="20"/>
                <w:lang w:val="ro-RO"/>
              </w:rPr>
              <w:t xml:space="preserve"> n</w:t>
            </w:r>
            <w:r>
              <w:rPr>
                <w:sz w:val="20"/>
                <w:szCs w:val="20"/>
                <w:lang w:val="ro-RO"/>
              </w:rPr>
              <w:t>oţiuni specifice disciplinei;</w:t>
            </w:r>
          </w:p>
          <w:p w:rsidR="00E3795E" w:rsidRDefault="00E3795E" w:rsidP="00E3795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Capacitatea de a prezenta și analiza cazuri la alegere (caz construit plecand fie de la experienta proprie, fie pe baza cercetării calitative</w:t>
            </w:r>
          </w:p>
          <w:p w:rsidR="00E3795E" w:rsidRPr="002E13A6" w:rsidRDefault="00E3795E" w:rsidP="00E3795E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 xml:space="preserve">Integrarea în </w:t>
            </w:r>
            <w:r>
              <w:rPr>
                <w:sz w:val="20"/>
                <w:szCs w:val="20"/>
                <w:lang w:val="ro-RO"/>
              </w:rPr>
              <w:t>eseu a unor observaţii proprii pe baza cazului ales</w:t>
            </w:r>
            <w:r w:rsidRPr="002E13A6">
              <w:rPr>
                <w:sz w:val="20"/>
                <w:szCs w:val="20"/>
                <w:lang w:val="ro-RO"/>
              </w:rPr>
              <w:t xml:space="preserve">. </w:t>
            </w:r>
          </w:p>
          <w:p w:rsidR="00113B1E" w:rsidRPr="00617542" w:rsidRDefault="00E3795E" w:rsidP="00E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2E13A6">
              <w:rPr>
                <w:sz w:val="20"/>
                <w:szCs w:val="20"/>
                <w:lang w:val="ro-RO"/>
              </w:rPr>
              <w:t>Redactarea în stil ştiinţific a lucrării.</w:t>
            </w: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E3795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617542" w:rsidRDefault="00E3795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E3795E" w:rsidRDefault="00E3795E" w:rsidP="00E3795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74C7F">
              <w:rPr>
                <w:sz w:val="20"/>
                <w:szCs w:val="20"/>
                <w:lang w:val="ro-RO"/>
              </w:rPr>
              <w:t>Capacitatea de a conecta informaţiile şi teoriile identificate în bibliografie cu</w:t>
            </w:r>
            <w:r>
              <w:rPr>
                <w:sz w:val="20"/>
                <w:szCs w:val="20"/>
                <w:lang w:val="ro-RO"/>
              </w:rPr>
              <w:t xml:space="preserve"> observații proprii</w:t>
            </w:r>
          </w:p>
          <w:p w:rsidR="00E3795E" w:rsidRDefault="00E3795E" w:rsidP="00E3795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-Utilizarea creativă a bibliografiei recomandate</w:t>
            </w:r>
          </w:p>
          <w:p w:rsidR="00113B1E" w:rsidRPr="00617542" w:rsidRDefault="00E3795E" w:rsidP="00E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-Capacitatea de a prezenta oral argumentul unui text</w:t>
            </w:r>
          </w:p>
        </w:tc>
        <w:tc>
          <w:tcPr>
            <w:tcW w:w="2420" w:type="dxa"/>
            <w:gridSpan w:val="2"/>
            <w:vMerge w:val="restart"/>
          </w:tcPr>
          <w:p w:rsidR="00E3795E" w:rsidRDefault="00E3795E" w:rsidP="00E379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text din </w:t>
            </w:r>
            <w:proofErr w:type="spellStart"/>
            <w:r>
              <w:rPr>
                <w:sz w:val="20"/>
                <w:szCs w:val="20"/>
              </w:rPr>
              <w:t>bibliografia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recomandată</w:t>
            </w:r>
            <w:proofErr w:type="spellEnd"/>
          </w:p>
          <w:p w:rsidR="00113B1E" w:rsidRPr="00617542" w:rsidRDefault="00E3795E" w:rsidP="00E3795E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Participare</w:t>
            </w:r>
            <w:r w:rsidRPr="005C0230">
              <w:rPr>
                <w:sz w:val="20"/>
                <w:szCs w:val="20"/>
                <w:lang w:val="ro-RO"/>
              </w:rPr>
              <w:t xml:space="preserve"> activă pe parcursul semestrului la activităţile de seminar</w:t>
            </w: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E3795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E3795E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  <w:p w:rsidR="00113B1E" w:rsidRPr="00617542" w:rsidRDefault="00E3795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B77EB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6266BF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C2846"/>
    <w:rsid w:val="000E58F1"/>
    <w:rsid w:val="00113B1E"/>
    <w:rsid w:val="001F4184"/>
    <w:rsid w:val="00210BCF"/>
    <w:rsid w:val="0026763B"/>
    <w:rsid w:val="00282F9E"/>
    <w:rsid w:val="002E6457"/>
    <w:rsid w:val="00307B74"/>
    <w:rsid w:val="0036750D"/>
    <w:rsid w:val="00385BBC"/>
    <w:rsid w:val="00431FFD"/>
    <w:rsid w:val="004B1378"/>
    <w:rsid w:val="004F2030"/>
    <w:rsid w:val="00542E8B"/>
    <w:rsid w:val="00593F24"/>
    <w:rsid w:val="00617542"/>
    <w:rsid w:val="006266BF"/>
    <w:rsid w:val="00627637"/>
    <w:rsid w:val="0064650F"/>
    <w:rsid w:val="00711AD2"/>
    <w:rsid w:val="007466F4"/>
    <w:rsid w:val="00750D28"/>
    <w:rsid w:val="0078061A"/>
    <w:rsid w:val="0079762E"/>
    <w:rsid w:val="00800E02"/>
    <w:rsid w:val="008036C8"/>
    <w:rsid w:val="00821576"/>
    <w:rsid w:val="008930EE"/>
    <w:rsid w:val="008B3D82"/>
    <w:rsid w:val="00976F91"/>
    <w:rsid w:val="00996693"/>
    <w:rsid w:val="009A62CD"/>
    <w:rsid w:val="00A21FC8"/>
    <w:rsid w:val="00B77EB2"/>
    <w:rsid w:val="00C331C5"/>
    <w:rsid w:val="00C550A3"/>
    <w:rsid w:val="00C97639"/>
    <w:rsid w:val="00D63626"/>
    <w:rsid w:val="00D85646"/>
    <w:rsid w:val="00E14EB6"/>
    <w:rsid w:val="00E3795E"/>
    <w:rsid w:val="00E77EF5"/>
    <w:rsid w:val="00ED5600"/>
    <w:rsid w:val="00EE0C8A"/>
    <w:rsid w:val="00F86CFC"/>
    <w:rsid w:val="00FC0864"/>
    <w:rsid w:val="00FE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7</cp:revision>
  <dcterms:created xsi:type="dcterms:W3CDTF">2019-03-01T09:14:00Z</dcterms:created>
  <dcterms:modified xsi:type="dcterms:W3CDTF">2019-03-05T22:49:00Z</dcterms:modified>
</cp:coreProperties>
</file>